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62" w:after="0" w:line="200" w:lineRule="exact"/>
        <w:ind w:firstLine="1" w:left="4307"/>
        <w:jc w:val="left"/>
        <w:rPr>
          <w:rFonts w:ascii="SimSun" w:hAnsi="SimSun" w:cs="SimSun" w:eastAsia="SimSun"/>
          <w:sz w:val="18"/>
          <w:szCs w:val="18"/>
          <w:color w:val="#000000"/>
          <w:noProof/>
        </w:rPr>
      </w:pPr>
      <w:r>
        <w:rPr>
          <w:rFonts w:ascii="Calibri" w:hAnsi="Calibri" w:cs="Calibri" w:eastAsia="Calibri"/>
          <w:sz w:val="18"/>
          <w:szCs w:val="18"/>
          <w:color w:val="#000000"/>
          <w:spacing w:val="11"/>
          <w:noProof/>
        </w:rPr>
        <w:t>2019</w:t>
      </w:r>
      <w:r>
        <w:rPr>
          <w:rFonts w:ascii="SimSun" w:hAnsi="SimSun" w:cs="SimSun" w:eastAsia="SimSun"/>
          <w:sz w:val="18"/>
          <w:szCs w:val="18"/>
          <w:color w:val="#000000"/>
          <w:noProof/>
        </w:rPr>
        <w:t>年年度报告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noProof/>
        </w:rPr>
        <w:pict>
          <v:shapetype id="Shape 10" coordorigin="1248,1111" coordsize="8868,14" o:spt="12" path="m1248,1118l10116,1118">
            <v:stroke joinstyle="miter"/>
          </v:shapetype>
          <v:shape id="WS_Shape 10" type="Shape 10" style="position:absolute;left:0;text-align:left;margin-left:61.40pt;width:445.38pt;height:2.72pt;mso-position-horizontal-relative:page;margin-top:19pt;mso-position-vertical-relative:paragraph;z-index:3814" filled="f" stroked="t" strokeweight="0.72pt" strokecolor="#000000">
            <v:fill opacity="0"/>
          </v:shape>
          <w10:wrap type="none"/>
        </w:pict>
      </w:r>
    </w:p>
    <w:p>
      <w:pPr>
        <w:spacing w:before="392" w:after="0" w:line="240" w:lineRule="exact"/>
        <w:ind w:firstLine="1" w:left="103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15"/>
          <w:noProof/>
        </w:rPr>
        <w:t>2017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1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30"/>
          <w:noProof/>
        </w:rPr>
        <w:t>11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日本公司收到北京能源集团有限责任公司缴纳的新增注册资本</w:t>
      </w:r>
    </w:p>
    <w:p>
      <w:pPr>
        <w:spacing w:before="2" w:after="0" w:line="310" w:lineRule="exact"/>
        <w:ind w:firstLine="1" w:left="556" w:right="102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1,411,710,154.00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元，变更后的注册资本为人民币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6,029,031,108.00</w:t>
      </w:r>
      <w:r>
        <w:rPr>
          <w:rFonts w:ascii="SimSun" w:hAnsi="SimSun" w:cs="SimSun" w:eastAsia="SimSun"/>
          <w:sz w:val="24"/>
          <w:szCs w:val="24"/>
          <w:color w:val="#000000"/>
          <w:spacing w:val="10"/>
          <w:noProof/>
        </w:rPr>
        <w:t>元。2017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2</w:t>
      </w:r>
      <w:r>
        <w:rPr>
          <w:rFonts w:ascii="SimSun" w:hAnsi="SimSun" w:cs="SimSun" w:eastAsia="SimSun"/>
          <w:sz w:val="24"/>
          <w:szCs w:val="24"/>
          <w:color w:val="#000000"/>
          <w:spacing w:val="72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36"/>
          <w:noProof/>
        </w:rPr>
        <w:t>22</w:t>
      </w:r>
      <w:r>
        <w:rPr>
          <w:rFonts w:ascii="SimSun" w:hAnsi="SimSun" w:cs="SimSun" w:eastAsia="SimSun"/>
          <w:sz w:val="24"/>
          <w:szCs w:val="24"/>
          <w:color w:val="#000000"/>
          <w:spacing w:val="1"/>
          <w:noProof/>
        </w:rPr>
        <w:t>日办理完毕本次发行股份购买资产的新增股份登记。</w:t>
      </w:r>
    </w:p>
    <w:p>
      <w:pPr>
        <w:spacing w:before="124" w:after="0" w:line="310" w:lineRule="exact"/>
        <w:ind w:firstLine="481" w:left="556" w:right="1016"/>
        <w:jc w:val="both"/>
        <w:rPr>
          <w:rFonts w:ascii="SimSun" w:hAnsi="SimSun" w:cs="SimSun" w:eastAsia="SimSun"/>
          <w:sz w:val="24"/>
          <w:szCs w:val="24"/>
          <w:color w:val="#000000"/>
          <w:spacing w:val="-108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15"/>
          <w:noProof/>
        </w:rPr>
        <w:t>2017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3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30"/>
          <w:noProof/>
        </w:rPr>
        <w:t>30</w:t>
      </w:r>
      <w:r>
        <w:rPr>
          <w:rFonts w:ascii="SimSun" w:hAnsi="SimSun" w:cs="SimSun" w:eastAsia="SimSun"/>
          <w:sz w:val="24"/>
          <w:szCs w:val="24"/>
          <w:color w:val="#000000"/>
          <w:spacing w:val="7"/>
          <w:noProof/>
        </w:rPr>
        <w:t>日非公开发行普通股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717,703,349.00</w:t>
      </w:r>
      <w:r>
        <w:rPr>
          <w:rFonts w:ascii="SimSun" w:hAnsi="SimSun" w:cs="SimSun" w:eastAsia="SimSun"/>
          <w:sz w:val="24"/>
          <w:szCs w:val="24"/>
          <w:color w:val="#000000"/>
          <w:spacing w:val="-9"/>
          <w:noProof/>
        </w:rPr>
        <w:t>股，变更后注册资本为人民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币</w:t>
      </w: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6,746,734,457.00</w:t>
      </w:r>
      <w:r>
        <w:rPr>
          <w:rFonts w:ascii="SimSun" w:hAnsi="SimSun" w:cs="SimSun" w:eastAsia="SimSun"/>
          <w:sz w:val="24"/>
          <w:szCs w:val="24"/>
          <w:color w:val="#000000"/>
          <w:spacing w:val="10"/>
          <w:noProof/>
        </w:rPr>
        <w:t>元，2017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4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月</w:t>
      </w:r>
      <w:r>
        <w:rPr>
          <w:rFonts w:ascii="SimSun" w:hAnsi="SimSun" w:cs="SimSun" w:eastAsia="SimSun"/>
          <w:sz w:val="24"/>
          <w:szCs w:val="24"/>
          <w:color w:val="#000000"/>
          <w:spacing w:val="61"/>
          <w:noProof/>
        </w:rPr>
        <w:t>7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日已在中国证券登记结算有限责任公司上海</w:t>
      </w:r>
      <w:r>
        <w:rPr>
          <w:rFonts w:ascii="SimSun" w:hAnsi="SimSun" w:cs="SimSun" w:eastAsia="SimSun"/>
          <w:sz w:val="24"/>
          <w:szCs w:val="24"/>
          <w:color w:val="#000000"/>
          <w:spacing w:val="1"/>
          <w:noProof/>
        </w:rPr>
        <w:t>分公司办理完毕股份登记手续。</w:t>
      </w:r>
    </w:p>
    <w:p>
      <w:pPr>
        <w:spacing w:before="192" w:after="0" w:line="240" w:lineRule="exact"/>
        <w:ind w:firstLine="1" w:left="103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3"/>
          <w:noProof/>
        </w:rPr>
        <w:t>公司总部位于中国北京市朝阳区陈家林华腾世纪</w:t>
      </w:r>
      <w:r>
        <w:rPr>
          <w:rFonts w:ascii="SimSun" w:hAnsi="SimSun" w:cs="SimSun" w:eastAsia="SimSun"/>
          <w:sz w:val="24"/>
          <w:szCs w:val="24"/>
          <w:color w:val="#000000"/>
          <w:spacing w:val="60"/>
          <w:noProof/>
        </w:rPr>
        <w:t>G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座。</w:t>
      </w:r>
    </w:p>
    <w:p>
      <w:pPr>
        <w:spacing w:before="124" w:after="0" w:line="310" w:lineRule="exact"/>
        <w:ind w:firstLine="481" w:left="556" w:right="1017"/>
        <w:jc w:val="left"/>
        <w:rPr>
          <w:rFonts w:ascii="SimSun" w:hAnsi="SimSun" w:cs="SimSun" w:eastAsia="SimSun"/>
          <w:sz w:val="24"/>
          <w:szCs w:val="24"/>
          <w:color w:val="#000000"/>
          <w:spacing w:val="-49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-2"/>
          <w:noProof/>
        </w:rPr>
        <w:t>本公司的母公司为北京京能国际能源股份有限公司（简称“京能国际”），最终</w:t>
      </w:r>
      <w:r>
        <w:rPr>
          <w:rFonts w:ascii="SimSun" w:hAnsi="SimSun" w:cs="SimSun" w:eastAsia="SimSun"/>
          <w:sz w:val="24"/>
          <w:szCs w:val="24"/>
          <w:color w:val="#000000"/>
          <w:spacing w:val="1"/>
          <w:noProof/>
        </w:rPr>
        <w:t>控股公司为北京能源集团有限责任公司。</w:t>
      </w:r>
    </w:p>
    <w:p>
      <w:pPr>
        <w:spacing w:before="190" w:after="0" w:line="240" w:lineRule="exact"/>
        <w:ind w:firstLine="1" w:left="103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noProof/>
        </w:rPr>
        <w:t>法定代表人：耿养谋</w:t>
      </w:r>
    </w:p>
    <w:p>
      <w:pPr>
        <w:spacing w:before="125" w:after="0" w:line="310" w:lineRule="exact"/>
        <w:ind w:firstLine="481" w:left="556" w:right="1013"/>
        <w:jc w:val="left"/>
        <w:rPr>
          <w:rFonts w:ascii="SimSun" w:hAnsi="SimSun" w:cs="SimSun" w:eastAsia="SimSun"/>
          <w:sz w:val="24"/>
          <w:szCs w:val="24"/>
          <w:color w:val="#000000"/>
          <w:spacing w:val="-45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-2"/>
          <w:noProof/>
        </w:rPr>
        <w:t>公司主要经营范围：生产电力、热力产品;普通货运、货物专用运输(罐式);电力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供应;销售热力产品;电力设备运行;发电设备检测、修理;销售脱硫石膏。</w:t>
      </w:r>
    </w:p>
    <w:p>
      <w:pPr>
        <w:spacing w:before="190" w:after="0" w:line="240" w:lineRule="exact"/>
        <w:ind w:firstLine="1" w:left="557"/>
        <w:jc w:val="left"/>
        <w:rPr>
          <w:rFonts w:ascii="SimSun" w:hAnsi="SimSun" w:cs="SimSun" w:eastAsia="SimSun"/>
          <w:sz w:val="24"/>
          <w:szCs w:val="24"/>
          <w:color w:val="#000000"/>
          <w:b/>
          <w:bCs/>
          <w:spacing w:val="7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b/>
          <w:bCs/>
          <w:spacing w:val="1"/>
          <w:noProof/>
        </w:rPr>
        <w:t>2.</w:t>
      </w:r>
      <w:r>
        <w:rPr>
          <w:rFonts w:ascii="SimSun" w:hAnsi="SimSun" w:cs="SimSun" w:eastAsia="SimSun"/>
          <w:sz w:val="24"/>
          <w:szCs w:val="24"/>
          <w:color w:val="#000000"/>
          <w:b/>
          <w:bCs/>
          <w:spacing w:val="58"/>
          <w:noProof/>
        </w:rPr>
        <w:t> </w:t>
      </w:r>
      <w:r>
        <w:rPr>
          <w:rFonts w:ascii="SimSun" w:hAnsi="SimSun" w:cs="SimSun" w:eastAsia="SimSun"/>
          <w:sz w:val="24"/>
          <w:szCs w:val="24"/>
          <w:color w:val="#000000"/>
          <w:b/>
          <w:bCs/>
          <w:spacing w:val="1"/>
          <w:noProof/>
        </w:rPr>
        <w:t>合并财务报表范围</w:t>
      </w:r>
    </w:p>
    <w:p>
      <w:pPr>
        <w:tabs>
          <w:tab w:val="left" w:pos="1517"/>
        </w:tabs>
        <w:spacing w:before="132" w:after="0" w:line="240" w:lineRule="exact"/>
        <w:ind w:firstLine="1" w:left="557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√适用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ab/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□不适用</w:t>
      </w:r>
    </w:p>
    <w:p>
      <w:pPr>
        <w:spacing w:before="72" w:after="0" w:line="240" w:lineRule="exact"/>
        <w:ind w:firstLine="1" w:left="557"/>
        <w:jc w:val="left"/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spacing w:val="4"/>
          <w:noProof/>
        </w:rPr>
        <w:t>本年度纳入合并财务报表范围的主体共</w:t>
      </w:r>
      <w:r>
        <w:rPr>
          <w:rFonts w:ascii="SimSun" w:hAnsi="SimSun" w:cs="SimSun" w:eastAsia="SimSun"/>
          <w:sz w:val="24"/>
          <w:szCs w:val="24"/>
          <w:color w:val="#000000"/>
          <w:spacing w:val="30"/>
          <w:noProof/>
        </w:rPr>
        <w:t>30</w:t>
      </w:r>
      <w:r>
        <w:rPr>
          <w:rFonts w:ascii="SimSun" w:hAnsi="SimSun" w:cs="SimSun" w:eastAsia="SimSun"/>
          <w:sz w:val="24"/>
          <w:szCs w:val="24"/>
          <w:color w:val="#000000"/>
          <w:spacing w:val="0"/>
          <w:noProof/>
        </w:rPr>
        <w:t>户，具体包括：</w:t>
      </w:r>
    </w:p>
    <w:tbl>
      <w:tblPr>
        <w:tblStyle w:val="TableGrid"/>
        <w:jc w:val="left"/>
        <w:tblW w:type="auto" w:w="0"/>
        <w:tblInd w:type="dxa" w:w="542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601"/>
        <w:gridCol w:w="1762"/>
        <w:gridCol w:w="607"/>
        <w:gridCol w:w="1558"/>
        <w:gridCol w:w="1419"/>
      </w:tblGrid>
      <w:tr>
        <w:trPr>
          <w:trHeight w:val="462" w:hRule="exact"/>
        </w:trPr>
        <w:tc>
          <w:tcPr>
            <w:tcBorders>
              <w:bottom w:val="double" w:sz="4" w:space="0" w:color="000000"/>
            </w:tcBorders>
            <w:vAlign w:val="center"/>
            <w:tcW w:w="3601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0"/>
                <w:noProof/>
              </w:rPr>
              <w:t>子企业名称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vAlign w:val="center"/>
            <w:tcW w:w="1762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0"/>
                <w:noProof/>
              </w:rPr>
              <w:t>子公司类型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607" w:type="dxa"/>
          </w:tcPr>
          <w:p>
            <w:pPr>
              <w:spacing w:before="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级次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558" w:type="dxa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6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1"/>
                <w:noProof/>
              </w:rPr>
              <w:t>持股比例（%）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419" w:type="dxa"/>
          </w:tcPr>
          <w:p>
            <w:pPr>
              <w:spacing w:before="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-56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b/>
                <w:bCs/>
                <w:spacing w:val="-7"/>
                <w:noProof/>
              </w:rPr>
              <w:t>表决权比例（%）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内蒙古京泰发电有限责任公司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山西京玉发电有限责任公司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右玉县京玉污水处理有限责任公司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三级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80.00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80.00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宁夏京能宁东发电有限责任公司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65.00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65.00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内蒙古岱海发电有限责任公司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内蒙古京能康巴什热电有限公司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河北涿州京源热电有限责任公司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山西京能吕临发电有限公司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66.00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66.00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京能十堰热电有限公司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</w:tr>
      <w:tr>
        <w:trPr>
          <w:trHeight w:val="282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内蒙古京隆发电有限责任公司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内蒙古华宁热电有限公司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三级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96.40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96.40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京能（锡林郭勒）发电有限公司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京能秦皇岛热电有限公司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内蒙古京能双欣发电有限公司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88.50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88.50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京能乌兰察布能源管理服务有限公司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70.00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内蒙古京能苏里格能源管理服务有限公司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宁夏中宁工业园区能源管理服务有限公司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3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40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山西京能售电有限责任公司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4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4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4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4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江西宜春京能热电有限责任公司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河南京能滑州热电有限责任公司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内蒙古京海煤矸石发电有限责任公司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51.00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内蒙古京海电力销售有限责任公司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三级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100.00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100.00</w:t>
            </w:r>
          </w:p>
        </w:tc>
      </w:tr>
      <w:tr>
        <w:trPr>
          <w:trHeight w:val="280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内蒙古京宁热电有限责任公司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北京京能电力燃料有限公司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青岛京能智汇综合能源有限公司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  <w:tc>
          <w:tcPr>
            <w:tcBorders>
              <w:bottom w:val="single" w:sz="4" w:space="0" w:color="000000"/>
            </w:tcBorders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60.00</w:t>
            </w:r>
          </w:p>
        </w:tc>
      </w:tr>
      <w:tr>
        <w:trPr>
          <w:trHeight w:val="280" w:hRule="exact"/>
        </w:trPr>
        <w:tc>
          <w:tcPr>
            <w:tcBorders>
              <w:top w:val="single" w:sz="4" w:space="0" w:color="000000"/>
              <w:bottom w:val="double" w:sz="4" w:space="0" w:color="000000"/>
            </w:tcBorders>
            <w:tcW w:w="3601" w:type="dxa"/>
          </w:tcPr>
          <w:p>
            <w:pPr>
              <w:spacing w:before="37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山西漳山发电有限责任公司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558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Borders>
              <w:top w:val="single" w:sz="4" w:space="0" w:color="000000"/>
            </w:tcBorders>
            <w:tcW w:w="1419" w:type="dxa"/>
          </w:tcPr>
          <w:p>
            <w:pPr>
              <w:spacing w:before="37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  <w:tr>
        <w:trPr>
          <w:trHeight w:val="282" w:hRule="exact"/>
        </w:trPr>
        <w:tc>
          <w:tcPr>
            <w:tcBorders>
              <w:bottom w:val="double" w:sz="4" w:space="0" w:color="000000"/>
            </w:tcBorders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京能（赤峰）能源发展有限公司</w:t>
            </w:r>
          </w:p>
        </w:tc>
        <w:tc>
          <w:tcPr>
            <w:tcBorders>
              <w:bottom w:val="double" w:sz="4" w:space="0" w:color="000000"/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控股子公司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94.70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94.70</w:t>
            </w:r>
          </w:p>
        </w:tc>
      </w:tr>
      <w:tr>
        <w:trPr>
          <w:trHeight w:val="282" w:hRule="exact"/>
        </w:trPr>
        <w:tc>
          <w:tcPr>
            <w:tcW w:w="3601" w:type="dxa"/>
          </w:tcPr>
          <w:p>
            <w:pPr>
              <w:spacing w:before="39" w:after="0" w:line="180" w:lineRule="exact"/>
              <w:ind w:firstLine="1" w:left="96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内蒙古京能盛乐热电有限公司</w:t>
            </w:r>
          </w:p>
        </w:tc>
        <w:tc>
          <w:tcPr>
            <w:tcBorders>
              <w:right w:val="single" w:sz="4" w:space="0" w:color="000000"/>
            </w:tcBorders>
            <w:tcW w:w="1762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全资子公司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607" w:type="dxa"/>
          </w:tcPr>
          <w:p>
            <w:pPr>
              <w:spacing w:before="39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二级</w:t>
            </w:r>
          </w:p>
        </w:tc>
        <w:tc>
          <w:tcPr>
            <w:tcBorders>
              <w:left w:val="single" w:sz="4" w:space="0" w:color="000000"/>
            </w:tcBorders>
            <w:tcW w:w="1558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  <w:tc>
          <w:tcPr>
            <w:tcW w:w="1419" w:type="dxa"/>
          </w:tcPr>
          <w:p>
            <w:pPr>
              <w:spacing w:before="39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-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1"/>
                <w:noProof/>
              </w:rPr>
              <w:t>100.00</w:t>
            </w:r>
          </w:p>
        </w:tc>
      </w:tr>
    </w:tbl>
    <w:p>
      <w:pPr>
        <w:spacing w:before="247" w:after="0" w:line="180" w:lineRule="exact"/>
        <w:ind w:firstLine="1" w:left="4623"/>
        <w:jc w:val="left"/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</w:pP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  <w:t>112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0"/>
          <w:noProof/>
        </w:rPr>
        <w:t> </w:t>
      </w:r>
      <w:r>
        <w:rPr>
          <w:rFonts w:ascii="Calibri" w:hAnsi="Calibri" w:cs="Calibri" w:eastAsia="Calibri"/>
          <w:sz w:val="18"/>
          <w:szCs w:val="18"/>
          <w:color w:val="#000000"/>
          <w:spacing w:val="0"/>
          <w:noProof/>
        </w:rPr>
        <w:t>/ 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  <w:t>274</w:t>
      </w:r>
    </w:p>
    <w:sectPr>
      <w:type w:val="continuous"/>
      <w:pgSz w:w="11906" w:h="16838"/>
      <w:pgMar w:top="72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2024-09-23T22:16:52Z</dcterms:created>
  <dcterms:modified xsi:type="dcterms:W3CDTF">2024-09-23T22:16:52Z</dcterms:modified>
</cp:coreProperties>
</file>