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jpeg" ContentType="image/jpeg"/>
  <Default Extension="jpg" ContentType="image/jpg"/>
  <Default Extension="png" ContentType="image/png"/>
</Types>
</file>

<file path=_rels/.rels>&#65279;<?xml version="1.0" encoding="UTF-8" standalone="yes" ?>
<Relationships xmlns="http://schemas.openxmlformats.org/package/2006/relationships">
	<Relationship Id="rId1" Type="http://schemas.openxmlformats.org/officeDocument/2006/relationships/extended-properties" Target="docProps/app.xml"/>
	<Relationship Id="rId2" Type="http://schemas.openxmlformats.org/officeDocument/2006/relationships/metadata/core-properties" Target="docProps/core.xml"/>
	<Relationship Id="rId3" Type="http://schemas.openxmlformats.org/officeDocument/2006/relationships/officeDocument" Target="word/document.xml"/>
</Relationships>
</file>

<file path=word/document.xml><?xml version="1.0" encoding="utf-8"?>
<w:document xmlns:w="http://schemas.openxmlformats.org/wordprocessingml/2006/main" xmlns:v="urn:schemas-microsoft-com:vml" xmlns:r="http://schemas.openxmlformats.org/officeDocument/2006/relationships" xmlns:o="urn:schemas-microsoft-com:office:office" xmlns:wp="http://schemas.openxmlformats.org/drawingml/2006/wordprocessingDrawing" xmlns:w10="urn:schemas-microsoft-com:office:word" xmlns:m="http://schemas.openxmlformats.org/officeDocument/2006/math" xmlns:wne="http://schemas.microsoft.com/office/word/2006/wordml" xmlns:mc="http://schemas.openxmlformats.org/markup-compatibility/2006" xml:space="preserve">
  <w:body>
    <w:bookmarkStart w:id="1" w:name="1"/>
    <w:bookmarkEnd w:id="1"/>
    <w:p>
      <w:pPr>
        <w:spacing w:before="162" w:after="0" w:line="200" w:lineRule="exact"/>
        <w:ind w:firstLine="1" w:left="0" w:right="4300"/>
        <w:jc w:val="right"/>
        <w:rPr>
          <w:rFonts w:ascii="SimSun" w:hAnsi="SimSun" w:cs="SimSun" w:eastAsia="SimSun"/>
          <w:sz w:val="18"/>
          <w:szCs w:val="18"/>
          <w:color w:val="#000000"/>
          <w:noProof/>
        </w:rPr>
      </w:pPr>
      <w:r>
        <w:rPr>
          <w:rFonts w:ascii="Calibri" w:hAnsi="Calibri" w:cs="Calibri" w:eastAsia="Calibri"/>
          <w:sz w:val="18"/>
          <w:szCs w:val="18"/>
          <w:color w:val="#000000"/>
          <w:spacing w:val="11"/>
          <w:noProof/>
        </w:rPr>
        <w:t>2019</w:t>
      </w:r>
      <w:r>
        <w:rPr>
          <w:rFonts w:ascii="SimSun" w:hAnsi="SimSun" w:cs="SimSun" w:eastAsia="SimSun"/>
          <w:sz w:val="18"/>
          <w:szCs w:val="18"/>
          <w:color w:val="#000000"/>
          <w:noProof/>
        </w:rPr>
        <w:t>年年度报告</w:t>
      </w:r>
    </w:p>
    <w:p>
      <w:pPr>
        <w:spacing w:before="0" w:after="0" w:line="236" w:lineRule="exact"/>
        <w:ind w:firstLine="1" w:left="1078"/>
        <w:jc w:val="left"/>
        <w:rPr>
          <w:rFonts w:ascii="SimSun" w:hAnsi="SimSun" w:cs="SimSun" w:eastAsia="SimSun"/>
          <w:sz w:val="24"/>
          <w:szCs w:val="24"/>
          <w:color w:val="#000000"/>
          <w:spacing w:val="-48"/>
          <w:noProof/>
        </w:rPr>
      </w:pPr>
      <w:r>
        <w:rPr>
          <w:rFonts w:ascii="Calibri" w:hAnsi="Calibri" w:cs="Calibri" w:eastAsia="Calibri"/>
          <w:sz w:val="18"/>
          <w:szCs w:val="18"/>
          <w:color w:val="#000000"/>
          <w:b/>
          <w:bCs/>
          <w:noProof/>
        </w:rPr>
        <w:pict>
          <v:shapetype id="Shape 10" coordorigin="1769,1111" coordsize="8867,14" o:spt="12" path="m1769,1118l10636,1118">
            <v:stroke joinstyle="miter"/>
          </v:shapetype>
          <v:shape id="WS_Shape 10" type="Shape 10" style="position:absolute;left:0;text-align:left;margin-left:87.46pt;width:445.35pt;height:2.72pt;mso-position-horizontal-relative:page;margin-top:0pt;mso-position-vertical-relative:paragraph;z-index:3814" filled="f" stroked="t" strokeweight="0.72pt" strokecolor="#000000">
            <v:fill opacity="0"/>
          </v:shape>
          <w10:wrap type="none"/>
        </w:pict>
      </w:r>
    </w:p>
    <w:p>
      <w:pPr>
        <w:spacing w:before="172" w:after="0" w:line="310" w:lineRule="exact"/>
        <w:ind w:firstLine="1" w:left="1078" w:right="495"/>
        <w:jc w:val="left"/>
        <w:rPr>
          <w:rFonts w:ascii="SimSun" w:hAnsi="SimSun" w:cs="SimSun" w:eastAsia="SimSun"/>
          <w:sz w:val="24"/>
          <w:szCs w:val="24"/>
          <w:color w:val="#000000"/>
          <w:spacing w:val="-48"/>
          <w:noProof/>
        </w:rPr>
      </w:pPr>
      <w:r>
        <w:rPr>
          <w:rFonts w:ascii="SimSun" w:hAnsi="SimSun" w:cs="SimSun" w:eastAsia="SimSun"/>
          <w:sz w:val="24"/>
          <w:szCs w:val="24"/>
          <w:color w:val="#000000"/>
          <w:spacing w:val="-2"/>
          <w:noProof/>
        </w:rPr>
        <w:t>过对客户定期信用评估，本公司确信足够的坏账准备已计提并反映在财务报表中。本</w:t>
      </w:r>
      <w:r>
        <w:rPr>
          <w:rFonts w:ascii="SimSun" w:hAnsi="SimSun" w:cs="SimSun" w:eastAsia="SimSun"/>
          <w:sz w:val="24"/>
          <w:szCs w:val="24"/>
          <w:color w:val="#000000"/>
          <w:spacing w:val="1"/>
          <w:noProof/>
        </w:rPr>
        <w:t>公司不持有任何作为应收款项质押的抵押品。</w:t>
      </w:r>
    </w:p>
    <w:p>
      <w:pPr>
        <w:spacing w:before="122" w:after="0" w:line="310" w:lineRule="exact"/>
        <w:ind w:firstLine="480" w:left="1078" w:right="495"/>
        <w:jc w:val="left"/>
        <w:rPr>
          <w:rFonts w:ascii="SimSun" w:hAnsi="SimSun" w:cs="SimSun" w:eastAsia="SimSun"/>
          <w:sz w:val="24"/>
          <w:szCs w:val="24"/>
          <w:color w:val="#000000"/>
          <w:spacing w:val="-48"/>
          <w:noProof/>
        </w:rPr>
      </w:pPr>
      <w:r>
        <w:rPr>
          <w:rFonts w:ascii="SimSun" w:hAnsi="SimSun" w:cs="SimSun" w:eastAsia="SimSun"/>
          <w:sz w:val="24"/>
          <w:szCs w:val="24"/>
          <w:color w:val="#000000"/>
          <w:spacing w:val="-2"/>
          <w:noProof/>
        </w:rPr>
        <w:t>于2019年12月31日，应收账款前五名债务人欠款金额合计人民2,015,826,849.19</w:t>
      </w:r>
      <w:r>
        <w:rPr>
          <w:rFonts w:ascii="SimSun" w:hAnsi="SimSun" w:cs="SimSun" w:eastAsia="SimSun"/>
          <w:sz w:val="24"/>
          <w:szCs w:val="24"/>
          <w:color w:val="#000000"/>
          <w:spacing w:val="1"/>
          <w:noProof/>
        </w:rPr>
        <w:t>元，占应收账款合计的73.65%。</w:t>
      </w:r>
    </w:p>
    <w:p>
      <w:pPr>
        <w:spacing w:before="126" w:after="0" w:line="310" w:lineRule="exact"/>
        <w:ind w:firstLine="480" w:left="1078" w:right="494"/>
        <w:jc w:val="both"/>
        <w:rPr>
          <w:rFonts w:ascii="SimSun" w:hAnsi="SimSun" w:cs="SimSun" w:eastAsia="SimSun"/>
          <w:sz w:val="24"/>
          <w:szCs w:val="24"/>
          <w:color w:val="#000000"/>
          <w:spacing w:val="-47"/>
          <w:noProof/>
        </w:rPr>
      </w:pPr>
      <w:r>
        <w:rPr>
          <w:rFonts w:ascii="SimSun" w:hAnsi="SimSun" w:cs="SimSun" w:eastAsia="SimSun"/>
          <w:sz w:val="24"/>
          <w:szCs w:val="24"/>
          <w:color w:val="#000000"/>
          <w:spacing w:val="-2"/>
          <w:noProof/>
        </w:rPr>
        <w:t>其他应收款主要包括关联方、保证金、押金及员工借款等；短期委托贷款及长期</w:t>
      </w:r>
      <w:r>
        <w:rPr>
          <w:rFonts w:ascii="SimSun" w:hAnsi="SimSun" w:cs="SimSun" w:eastAsia="SimSun"/>
          <w:sz w:val="24"/>
          <w:szCs w:val="24"/>
          <w:color w:val="#000000"/>
          <w:spacing w:val="-2"/>
          <w:noProof/>
        </w:rPr>
        <w:t>委托贷款主要包括应收关联方款项。本公司通过定期检查关联方的经营成果和资产负</w:t>
      </w:r>
      <w:r>
        <w:rPr>
          <w:rFonts w:ascii="SimSun" w:hAnsi="SimSun" w:cs="SimSun" w:eastAsia="SimSun"/>
          <w:sz w:val="24"/>
          <w:szCs w:val="24"/>
          <w:color w:val="#000000"/>
          <w:spacing w:val="1"/>
          <w:noProof/>
        </w:rPr>
        <w:t>债率来评估其信用风险。</w:t>
      </w:r>
    </w:p>
    <w:p>
      <w:pPr>
        <w:spacing w:before="190" w:after="0" w:line="240" w:lineRule="exact"/>
        <w:ind w:firstLine="1" w:left="155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（二）流动性风险</w:t>
      </w:r>
    </w:p>
    <w:p>
      <w:pPr>
        <w:spacing w:before="124" w:after="0" w:line="310" w:lineRule="exact"/>
        <w:ind w:firstLine="480" w:left="1078" w:right="496"/>
        <w:jc w:val="left"/>
        <w:rPr>
          <w:rFonts w:ascii="SimSun" w:hAnsi="SimSun" w:cs="SimSun" w:eastAsia="SimSun"/>
          <w:sz w:val="24"/>
          <w:szCs w:val="24"/>
          <w:color w:val="#000000"/>
          <w:spacing w:val="-48"/>
          <w:noProof/>
        </w:rPr>
      </w:pPr>
      <w:r>
        <w:rPr>
          <w:rFonts w:ascii="SimSun" w:hAnsi="SimSun" w:cs="SimSun" w:eastAsia="SimSun"/>
          <w:sz w:val="24"/>
          <w:szCs w:val="24"/>
          <w:color w:val="#000000"/>
          <w:spacing w:val="-2"/>
          <w:noProof/>
        </w:rPr>
        <w:t>本公司采用循环流动性计划工具管理资金短缺风险。该工具既考虑其金融工具的</w:t>
      </w:r>
      <w:r>
        <w:rPr>
          <w:rFonts w:ascii="SimSun" w:hAnsi="SimSun" w:cs="SimSun" w:eastAsia="SimSun"/>
          <w:sz w:val="24"/>
          <w:szCs w:val="24"/>
          <w:color w:val="#000000"/>
          <w:spacing w:val="1"/>
          <w:noProof/>
        </w:rPr>
        <w:t>到期日，也考虑本公司运营产生的预计现金流量。</w:t>
      </w:r>
    </w:p>
    <w:p>
      <w:pPr>
        <w:spacing w:before="124" w:after="0" w:line="310" w:lineRule="exact"/>
        <w:ind w:firstLine="480" w:left="1078" w:right="496"/>
        <w:jc w:val="left"/>
        <w:rPr>
          <w:rFonts w:ascii="SimSun" w:hAnsi="SimSun" w:cs="SimSun" w:eastAsia="SimSun"/>
          <w:sz w:val="24"/>
          <w:szCs w:val="24"/>
          <w:color w:val="#000000"/>
          <w:spacing w:val="-48"/>
          <w:noProof/>
        </w:rPr>
      </w:pPr>
      <w:r>
        <w:rPr>
          <w:rFonts w:ascii="SimSun" w:hAnsi="SimSun" w:cs="SimSun" w:eastAsia="SimSun"/>
          <w:sz w:val="24"/>
          <w:szCs w:val="24"/>
          <w:color w:val="#000000"/>
          <w:spacing w:val="-2"/>
          <w:noProof/>
        </w:rPr>
        <w:t>本公司的目标是运用银行借款、融资租赁等多种融资手段以保持融资的持续性与</w:t>
      </w:r>
      <w:r>
        <w:rPr>
          <w:rFonts w:ascii="SimSun" w:hAnsi="SimSun" w:cs="SimSun" w:eastAsia="SimSun"/>
          <w:sz w:val="24"/>
          <w:szCs w:val="24"/>
          <w:color w:val="#000000"/>
          <w:spacing w:val="-2"/>
          <w:noProof/>
        </w:rPr>
        <w:t>灵活性的平衡。本公司的政策是，根据财务报表中反映的借款的账面价值，不超过</w:t>
      </w:r>
      <w:r>
        <w:rPr>
          <w:rFonts w:ascii="SimSun" w:hAnsi="SimSun" w:cs="SimSun" w:eastAsia="SimSun"/>
          <w:sz w:val="24"/>
          <w:szCs w:val="24"/>
          <w:color w:val="#000000"/>
          <w:spacing w:val="-1"/>
          <w:noProof/>
        </w:rPr>
        <w:t>31.06%的借款应于12个月内到期。于2019年12月31日，本公司68.94%的债务在不足1</w:t>
      </w:r>
      <w:r>
        <w:rPr>
          <w:rFonts w:ascii="SimSun" w:hAnsi="SimSun" w:cs="SimSun" w:eastAsia="SimSun"/>
          <w:sz w:val="24"/>
          <w:szCs w:val="24"/>
          <w:color w:val="#000000"/>
          <w:spacing w:val="2"/>
          <w:noProof/>
        </w:rPr>
        <w:t>年内到期。</w:t>
      </w:r>
    </w:p>
    <w:p>
      <w:pPr>
        <w:spacing w:before="192" w:after="0" w:line="240" w:lineRule="exact"/>
        <w:ind w:firstLine="1" w:left="1558"/>
        <w:jc w:val="left"/>
        <w:rPr>
          <w:rFonts w:ascii="SimSun" w:hAnsi="SimSun" w:cs="SimSun" w:eastAsia="SimSun"/>
          <w:sz w:val="24"/>
          <w:szCs w:val="24"/>
          <w:color w:val="#000000"/>
          <w:spacing w:val="-1"/>
          <w:noProof/>
        </w:rPr>
      </w:pPr>
      <w:r>
        <w:rPr>
          <w:rFonts w:ascii="SimSun" w:hAnsi="SimSun" w:cs="SimSun" w:eastAsia="SimSun"/>
          <w:sz w:val="24"/>
          <w:szCs w:val="24"/>
          <w:color w:val="#000000"/>
          <w:spacing w:val="-1"/>
          <w:noProof/>
        </w:rPr>
        <w:t>（三）市场风险</w:t>
      </w:r>
    </w:p>
    <w:p>
      <w:pPr>
        <w:spacing w:before="122" w:after="0" w:line="310" w:lineRule="exact"/>
        <w:ind w:firstLine="480" w:left="1078" w:right="496"/>
        <w:jc w:val="left"/>
        <w:rPr>
          <w:rFonts w:ascii="SimSun" w:hAnsi="SimSun" w:cs="SimSun" w:eastAsia="SimSun"/>
          <w:sz w:val="24"/>
          <w:szCs w:val="24"/>
          <w:color w:val="#000000"/>
          <w:spacing w:val="-48"/>
          <w:noProof/>
        </w:rPr>
      </w:pPr>
      <w:r>
        <w:rPr>
          <w:rFonts w:ascii="SimSun" w:hAnsi="SimSun" w:cs="SimSun" w:eastAsia="SimSun"/>
          <w:sz w:val="24"/>
          <w:szCs w:val="24"/>
          <w:color w:val="#000000"/>
          <w:spacing w:val="-2"/>
          <w:noProof/>
        </w:rPr>
        <w:t>市场风险，是指金融工具的公允价值或未来现金流量因市场价格变动而发生波动</w:t>
      </w:r>
      <w:r>
        <w:rPr>
          <w:rFonts w:ascii="SimSun" w:hAnsi="SimSun" w:cs="SimSun" w:eastAsia="SimSun"/>
          <w:sz w:val="24"/>
          <w:szCs w:val="24"/>
          <w:color w:val="#000000"/>
          <w:spacing w:val="1"/>
          <w:noProof/>
        </w:rPr>
        <w:t>的风险。本公司市场风险主要为利率风险。</w:t>
      </w:r>
    </w:p>
    <w:p>
      <w:pPr>
        <w:spacing w:before="124" w:after="0" w:line="310" w:lineRule="exact"/>
        <w:ind w:firstLine="480" w:left="1078" w:right="688"/>
        <w:jc w:val="left"/>
        <w:rPr>
          <w:rFonts w:ascii="SimSun" w:hAnsi="SimSun" w:cs="SimSun" w:eastAsia="SimSun"/>
          <w:sz w:val="24"/>
          <w:szCs w:val="24"/>
          <w:color w:val="#000000"/>
          <w:spacing w:val="0"/>
          <w:noProof/>
        </w:rPr>
      </w:pPr>
      <w:r>
        <w:rPr>
          <w:rFonts w:ascii="SimSun" w:hAnsi="SimSun" w:cs="SimSun" w:eastAsia="SimSun"/>
          <w:sz w:val="24"/>
          <w:szCs w:val="24"/>
          <w:color w:val="#000000"/>
          <w:spacing w:val="0"/>
          <w:noProof/>
        </w:rPr>
        <w:t>本公司面临的市场利率变动的风险主要与本公司以浮动利率计息的长期负债有</w:t>
      </w:r>
      <w:r>
        <w:rPr>
          <w:rFonts w:ascii="SimSun" w:hAnsi="SimSun" w:cs="SimSun" w:eastAsia="SimSun"/>
          <w:sz w:val="24"/>
          <w:szCs w:val="24"/>
          <w:color w:val="#000000"/>
          <w:spacing w:val="6"/>
          <w:noProof/>
        </w:rPr>
        <w:t>关。</w:t>
      </w:r>
    </w:p>
    <w:p>
      <w:pPr>
        <w:spacing w:before="122" w:after="0" w:line="310" w:lineRule="exact"/>
        <w:ind w:firstLine="480" w:left="1078" w:right="494"/>
        <w:jc w:val="left"/>
        <w:rPr>
          <w:rFonts w:ascii="SimSun" w:hAnsi="SimSun" w:cs="SimSun" w:eastAsia="SimSun"/>
          <w:sz w:val="24"/>
          <w:szCs w:val="24"/>
          <w:color w:val="#000000"/>
          <w:spacing w:val="-47"/>
          <w:noProof/>
        </w:rPr>
      </w:pPr>
      <w:r>
        <w:rPr>
          <w:rFonts w:ascii="SimSun" w:hAnsi="SimSun" w:cs="SimSun" w:eastAsia="SimSun"/>
          <w:sz w:val="24"/>
          <w:szCs w:val="24"/>
          <w:color w:val="#000000"/>
          <w:spacing w:val="-2"/>
          <w:noProof/>
        </w:rPr>
        <w:t>除银行存款外，本公司没有重大的计息资产，所以本公司的经营现金流量基本不</w:t>
      </w:r>
      <w:r>
        <w:rPr>
          <w:rFonts w:ascii="SimSun" w:hAnsi="SimSun" w:cs="SimSun" w:eastAsia="SimSun"/>
          <w:sz w:val="24"/>
          <w:szCs w:val="24"/>
          <w:color w:val="#000000"/>
          <w:spacing w:val="1"/>
          <w:noProof/>
        </w:rPr>
        <w:t>受市场利率变化的影响。</w:t>
      </w:r>
    </w:p>
    <w:p>
      <w:pPr>
        <w:spacing w:before="126" w:after="0" w:line="310" w:lineRule="exact"/>
        <w:ind w:firstLine="480" w:left="1078" w:right="494"/>
        <w:jc w:val="both"/>
        <w:rPr>
          <w:rFonts w:ascii="SimSun" w:hAnsi="SimSun" w:cs="SimSun" w:eastAsia="SimSun"/>
          <w:sz w:val="24"/>
          <w:szCs w:val="24"/>
          <w:color w:val="#000000"/>
          <w:spacing w:val="0"/>
          <w:noProof/>
        </w:rPr>
      </w:pPr>
      <w:r>
        <w:rPr>
          <w:rFonts w:ascii="SimSun" w:hAnsi="SimSun" w:cs="SimSun" w:eastAsia="SimSun"/>
          <w:sz w:val="24"/>
          <w:szCs w:val="24"/>
          <w:color w:val="#000000"/>
          <w:spacing w:val="-2"/>
          <w:noProof/>
        </w:rPr>
        <w:t>本公司大部分银行存款存放于几家大型国有银行和一家为本公司的关联方的非</w:t>
      </w:r>
      <w:r>
        <w:rPr>
          <w:rFonts w:ascii="SimSun" w:hAnsi="SimSun" w:cs="SimSun" w:eastAsia="SimSun"/>
          <w:sz w:val="24"/>
          <w:szCs w:val="24"/>
          <w:color w:val="#000000"/>
          <w:spacing w:val="-2"/>
          <w:noProof/>
        </w:rPr>
        <w:t>银行金融机构。利率由中国人民银行规定，本公司定期密切关注该等利率的波动。由</w:t>
      </w:r>
      <w:r>
        <w:rPr>
          <w:rFonts w:ascii="SimSun" w:hAnsi="SimSun" w:cs="SimSun" w:eastAsia="SimSun"/>
          <w:sz w:val="24"/>
          <w:szCs w:val="24"/>
          <w:color w:val="#000000"/>
          <w:spacing w:val="-2"/>
          <w:noProof/>
        </w:rPr>
        <w:t>于该等存款平均利率相对较低，董事们认为本公司持有的此类资产于2019年12月31日</w:t>
      </w:r>
      <w:r>
        <w:rPr>
          <w:rFonts w:ascii="SimSun" w:hAnsi="SimSun" w:cs="SimSun" w:eastAsia="SimSun"/>
          <w:sz w:val="24"/>
          <w:szCs w:val="24"/>
          <w:color w:val="#000000"/>
          <w:spacing w:val="1"/>
          <w:noProof/>
        </w:rPr>
        <w:t>并未面临重大的利率风险。</w:t>
      </w:r>
    </w:p>
    <w:p>
      <w:pPr>
        <w:spacing w:before="124" w:after="0" w:line="310" w:lineRule="exact"/>
        <w:ind w:firstLine="480" w:left="1078" w:right="385"/>
        <w:jc w:val="both"/>
        <w:rPr>
          <w:rFonts w:ascii="SimSun" w:hAnsi="SimSun" w:cs="SimSun" w:eastAsia="SimSun"/>
          <w:sz w:val="24"/>
          <w:szCs w:val="24"/>
          <w:color w:val="#000000"/>
          <w:spacing w:val="-48"/>
          <w:noProof/>
        </w:rPr>
      </w:pPr>
      <w:r>
        <w:rPr>
          <w:rFonts w:ascii="SimSun" w:hAnsi="SimSun" w:cs="SimSun" w:eastAsia="SimSun"/>
          <w:sz w:val="24"/>
          <w:szCs w:val="24"/>
          <w:color w:val="#000000"/>
          <w:spacing w:val="-3"/>
          <w:noProof/>
        </w:rPr>
        <w:t>本公司的利率风险主要源于借款。部分借款利息乃根据跟随现行市场利率之浮动</w:t>
      </w:r>
      <w:r>
        <w:rPr>
          <w:rFonts w:ascii="SimSun" w:hAnsi="SimSun" w:cs="SimSun" w:eastAsia="SimSun"/>
          <w:sz w:val="24"/>
          <w:szCs w:val="24"/>
          <w:color w:val="#000000"/>
          <w:spacing w:val="2"/>
          <w:noProof/>
        </w:rPr>
        <w:t>利率计算，使本公司面临着现金流量利率风险。本公司动态地分析利率的变动方向。</w:t>
      </w:r>
      <w:r>
        <w:rPr>
          <w:rFonts w:ascii="SimSun" w:hAnsi="SimSun" w:cs="SimSun" w:eastAsia="SimSun"/>
          <w:sz w:val="24"/>
          <w:szCs w:val="24"/>
          <w:color w:val="#000000"/>
          <w:spacing w:val="2"/>
          <w:noProof/>
        </w:rPr>
        <w:t>多种可能的方案会被同时予以考虑，涉及对现有融资的替换、展期或其他融资渠道。</w:t>
      </w:r>
    </w:p>
    <w:p>
      <w:pPr>
        <w:spacing w:before="122" w:after="0" w:line="310" w:lineRule="exact"/>
        <w:ind w:firstLine="480" w:left="1078" w:right="376"/>
        <w:jc w:val="left"/>
        <w:rPr>
          <w:rFonts w:ascii="SimSun" w:hAnsi="SimSun" w:cs="SimSun" w:eastAsia="SimSun"/>
          <w:sz w:val="24"/>
          <w:szCs w:val="24"/>
          <w:color w:val="#000000"/>
          <w:spacing w:val="-168"/>
          <w:noProof/>
        </w:rPr>
      </w:pPr>
      <w:r>
        <w:rPr>
          <w:rFonts w:ascii="SimSun" w:hAnsi="SimSun" w:cs="SimSun" w:eastAsia="SimSun"/>
          <w:sz w:val="24"/>
          <w:szCs w:val="24"/>
          <w:color w:val="#000000"/>
          <w:spacing w:val="-5"/>
          <w:noProof/>
        </w:rPr>
        <w:t>下表为利率风险的敏感性分析，反映了在其他变量不变的假设下，利率发生合理、</w:t>
      </w:r>
      <w:r>
        <w:rPr>
          <w:rFonts w:ascii="SimSun" w:hAnsi="SimSun" w:cs="SimSun" w:eastAsia="SimSun"/>
          <w:sz w:val="24"/>
          <w:szCs w:val="24"/>
          <w:color w:val="#000000"/>
          <w:spacing w:val="0"/>
          <w:noProof/>
        </w:rPr>
        <w:t>可能的变动时，将对净利润(通过对浮动利率借款的影响)和股东权益产生的影响。</w:t>
      </w:r>
    </w:p>
    <w:p>
      <w:pPr>
        <w:spacing w:before="0" w:after="0" w:line="164" w:lineRule="exact"/>
        <w:ind w:firstLine="1" w:left="0" w:right="46038000"/>
        <w:jc w:val="right"/>
        <w:rPr>
          <w:rFonts w:ascii="Calibri" w:hAnsi="Calibri" w:cs="Calibri" w:eastAsia="Calibri"/>
          <w:sz w:val="16"/>
          <w:szCs w:val="16"/>
          <w:color w:val="#000000"/>
          <w:b/>
          <w:bCs/>
          <w:spacing w:val="-1"/>
          <w:noProof/>
        </w:rPr>
      </w:pPr>
    </w:p>
    <w:tbl>
      <w:tblPr>
        <w:tblStyle w:val="TableGrid"/>
        <w:jc w:val="left"/>
        <w:tblW w:type="auto" w:w="0"/>
        <w:tblInd w:type="dxa" w:w="65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type="dxa" w:w="0"/>
          <w:left w:type="dxa" w:w="0"/>
          <w:bottom w:type="dxa" w:w="0"/>
          <w:right w:type="dxa" w:w="0"/>
        </w:tblCellMar>
        <w:tblLayout w:type="fixed"/>
        <w:tblLook w:val="01E0"/>
      </w:tblPr>
      <w:tblGrid>
        <w:gridCol w:w="1987"/>
        <w:gridCol w:w="886"/>
        <w:gridCol w:w="1598"/>
        <w:gridCol w:w="1601"/>
        <w:gridCol w:w="1601"/>
        <w:gridCol w:w="1599"/>
      </w:tblGrid>
      <w:tr>
        <w:trPr>
          <w:trHeight w:val="251" w:hRule="exact"/>
        </w:trPr>
        <w:tc>
          <w:tcPr>
            <w:tcBorders>
              <w:bottom w:val="single" w:sz="4" w:space="0" w:color="000000"/>
              <w:right w:val="single" w:sz="4" w:space="0" w:color="000000"/>
            </w:tcBorders>
            <w:vAlign w:val="center"/>
            <w:tcW w:w="1987" w:type="dxa"/>
            <w:vMerge w:val="restart"/>
          </w:tcPr>
          <w:p>
            <w:pPr>
              <w:spacing w:before="0" w:after="0" w:line="180" w:lineRule="exact"/>
              <w:ind w:firstLine="1" w:left="-20"/>
              <w:jc w:val="center"/>
              <w:rPr>
                <w:rFonts w:ascii="SimSun" w:hAnsi="SimSun" w:cs="SimSun" w:eastAsia="SimSun"/>
                <w:sz w:val="18"/>
                <w:szCs w:val="18"/>
                <w:color w:val="#000000"/>
                <w:b/>
                <w:bCs/>
                <w:spacing w:val="2"/>
                <w:noProof/>
              </w:rPr>
            </w:pPr>
            <w:r>
              <w:rPr>
                <w:rFonts w:ascii="SimSun" w:hAnsi="SimSun" w:cs="SimSun" w:eastAsia="SimSun"/>
                <w:sz w:val="18"/>
                <w:szCs w:val="18"/>
                <w:color w:val="#000000"/>
                <w:b/>
                <w:bCs/>
                <w:spacing w:val="1"/>
                <w:noProof/>
              </w:rPr>
              <w:t>项目</w:t>
            </w:r>
          </w:p>
        </w:tc>
        <w:tc>
          <w:tcPr>
            <w:tcBorders>
              <w:bottom w:val="single" w:sz="4" w:space="0" w:color="000000"/>
              <w:left w:val="single" w:sz="4" w:space="0" w:color="000000"/>
              <w:right w:val="single" w:sz="4" w:space="0" w:color="000000"/>
            </w:tcBorders>
            <w:vAlign w:val="center"/>
            <w:tcW w:w="886" w:type="dxa"/>
            <w:vMerge w:val="restart"/>
          </w:tcPr>
          <w:p>
            <w:pPr>
              <w:spacing w:before="0" w:after="0" w:line="180" w:lineRule="exact"/>
              <w:ind w:firstLine="1" w:left="-20"/>
              <w:jc w:val="center"/>
              <w:rPr>
                <w:rFonts w:ascii="SimSun" w:hAnsi="SimSun" w:cs="SimSun" w:eastAsia="SimSun"/>
                <w:sz w:val="18"/>
                <w:szCs w:val="18"/>
                <w:color w:val="#000000"/>
                <w:b/>
                <w:bCs/>
                <w:spacing w:val="2"/>
                <w:noProof/>
              </w:rPr>
            </w:pPr>
            <w:r>
              <w:rPr>
                <w:rFonts w:ascii="SimSun" w:hAnsi="SimSun" w:cs="SimSun" w:eastAsia="SimSun"/>
                <w:sz w:val="18"/>
                <w:szCs w:val="18"/>
                <w:color w:val="#000000"/>
                <w:b/>
                <w:bCs/>
                <w:spacing w:val="1"/>
                <w:noProof/>
              </w:rPr>
              <w:t>基准点</w:t>
            </w:r>
          </w:p>
        </w:tc>
        <w:tc>
          <w:tcPr>
            <w:gridSpan w:val="2"/>
            <w:tcBorders>
              <w:bottom w:val="double" w:sz="4" w:space="0" w:color="000000"/>
              <w:left w:val="single" w:sz="4" w:space="0" w:color="000000"/>
              <w:right w:val="single" w:sz="4" w:space="0" w:color="000000"/>
            </w:tcBorders>
            <w:tcW w:w="3200" w:type="dxa"/>
          </w:tcPr>
          <w:p>
            <w:pPr>
              <w:spacing w:before="42" w:after="0" w:line="180" w:lineRule="exact"/>
              <w:ind w:firstLine="1" w:left="-20"/>
              <w:jc w:val="center"/>
              <w:rPr>
                <w:rFonts w:ascii="SimSun" w:hAnsi="SimSun" w:cs="SimSun" w:eastAsia="SimSun"/>
                <w:sz w:val="18"/>
                <w:szCs w:val="18"/>
                <w:color w:val="#000000"/>
                <w:b/>
                <w:bCs/>
                <w:spacing w:val="2"/>
                <w:noProof/>
              </w:rPr>
            </w:pPr>
            <w:r>
              <w:rPr>
                <w:rFonts w:ascii="SimSun" w:hAnsi="SimSun" w:cs="SimSun" w:eastAsia="SimSun"/>
                <w:sz w:val="18"/>
                <w:szCs w:val="18"/>
                <w:color w:val="#000000"/>
                <w:b/>
                <w:bCs/>
                <w:spacing w:val="1"/>
                <w:noProof/>
              </w:rPr>
              <w:t>本期</w:t>
            </w:r>
          </w:p>
        </w:tc>
        <w:tc>
          <w:tcPr>
            <w:gridSpan w:val="2"/>
            <w:tcBorders>
              <w:bottom w:val="single" w:sz="4" w:space="0" w:color="000000"/>
              <w:left w:val="single" w:sz="4" w:space="0" w:color="000000"/>
            </w:tcBorders>
            <w:tcW w:w="3200" w:type="dxa"/>
          </w:tcPr>
          <w:p>
            <w:pPr>
              <w:spacing w:before="42" w:after="0" w:line="180" w:lineRule="exact"/>
              <w:ind w:firstLine="1" w:left="-20"/>
              <w:jc w:val="center"/>
              <w:rPr>
                <w:rFonts w:ascii="SimSun" w:hAnsi="SimSun" w:cs="SimSun" w:eastAsia="SimSun"/>
                <w:sz w:val="18"/>
                <w:szCs w:val="18"/>
                <w:color w:val="#000000"/>
                <w:b/>
                <w:bCs/>
                <w:spacing w:val="2"/>
                <w:noProof/>
              </w:rPr>
            </w:pPr>
            <w:r>
              <w:rPr>
                <w:rFonts w:ascii="SimSun" w:hAnsi="SimSun" w:cs="SimSun" w:eastAsia="SimSun"/>
                <w:sz w:val="18"/>
                <w:szCs w:val="18"/>
                <w:color w:val="#000000"/>
                <w:b/>
                <w:bCs/>
                <w:spacing w:val="1"/>
                <w:noProof/>
              </w:rPr>
              <w:t>上期</w:t>
            </w:r>
          </w:p>
        </w:tc>
      </w:tr>
      <w:tr>
        <w:trPr>
          <w:trHeight w:val="280" w:hRule="exact"/>
        </w:trPr>
        <w:tc>
          <w:tcPr>
            <w:tcBorders>
              <w:top w:val="none" w:sz="0" w:space="0" w:color="000000"/>
              <w:bottom w:val="single" w:sz="4" w:space="0" w:color="000000"/>
              <w:right w:val="single" w:sz="4" w:space="0" w:color="000000"/>
            </w:tcBorders>
            <w:vAlign w:val="center"/>
            <w:tcW w:w="1987" w:type="dxa"/>
            <w:vMerge/>
          </w:tcPr>
          <w:p>
            <w:pPr>
              <w:rPr w:sz="5" w:szCs="5"/>
            </w:pPr>
          </w:p>
        </w:tc>
        <w:tc>
          <w:tcPr>
            <w:tcBorders>
              <w:top w:val="none" w:sz="0" w:space="0" w:color="000000"/>
              <w:bottom w:val="single" w:sz="4" w:space="0" w:color="000000"/>
              <w:left w:val="single" w:sz="4" w:space="0" w:color="000000"/>
              <w:right w:val="single" w:sz="4" w:space="0" w:color="000000"/>
            </w:tcBorders>
            <w:vAlign w:val="center"/>
            <w:tcW w:w="886" w:type="dxa"/>
            <w:vMerge/>
          </w:tcPr>
          <w:p>
            <w:pPr>
              <w:rPr w:sz="5" w:szCs="5"/>
            </w:pPr>
          </w:p>
        </w:tc>
        <w:tc>
          <w:tcPr>
            <w:tcBorders>
              <w:top w:val="single" w:sz="4" w:space="0" w:color="000000"/>
              <w:bottom w:val="double" w:sz="4" w:space="0" w:color="000000"/>
              <w:left w:val="single" w:sz="4" w:space="0" w:color="000000"/>
              <w:right w:val="single" w:sz="4" w:space="0" w:color="000000"/>
            </w:tcBorders>
            <w:vAlign w:val="center"/>
            <w:tcW w:w="1598" w:type="dxa"/>
          </w:tcPr>
          <w:p>
            <w:pPr>
              <w:spacing w:before="0" w:after="0" w:line="180" w:lineRule="exact"/>
              <w:ind w:firstLine="1" w:left="-20"/>
              <w:jc w:val="center"/>
              <w:rPr>
                <w:rFonts w:ascii="SimSun" w:hAnsi="SimSun" w:cs="SimSun" w:eastAsia="SimSun"/>
                <w:sz w:val="18"/>
                <w:szCs w:val="18"/>
                <w:color w:val="#000000"/>
                <w:b/>
                <w:bCs/>
                <w:spacing w:val="2"/>
                <w:noProof/>
              </w:rPr>
            </w:pPr>
            <w:r>
              <w:rPr>
                <w:rFonts w:ascii="SimSun" w:hAnsi="SimSun" w:cs="SimSun" w:eastAsia="SimSun"/>
                <w:sz w:val="18"/>
                <w:szCs w:val="18"/>
                <w:color w:val="#000000"/>
                <w:b/>
                <w:bCs/>
                <w:spacing w:val="1"/>
                <w:noProof/>
              </w:rPr>
              <w:t>净利润</w:t>
            </w:r>
          </w:p>
        </w:tc>
        <w:tc>
          <w:tcPr>
            <w:tcBorders>
              <w:top w:val="single" w:sz="4" w:space="0" w:color="000000"/>
              <w:bottom w:val="double" w:sz="4" w:space="0" w:color="000000"/>
              <w:left w:val="single" w:sz="4" w:space="0" w:color="000000"/>
              <w:right w:val="single" w:sz="4" w:space="0" w:color="000000"/>
            </w:tcBorders>
            <w:vAlign w:val="center"/>
            <w:tcW w:w="1601" w:type="dxa"/>
          </w:tcPr>
          <w:p>
            <w:pPr>
              <w:spacing w:before="0" w:after="0" w:line="180" w:lineRule="exact"/>
              <w:ind w:firstLine="1" w:left="-20"/>
              <w:jc w:val="center"/>
              <w:rPr>
                <w:rFonts w:ascii="SimSun" w:hAnsi="SimSun" w:cs="SimSun" w:eastAsia="SimSun"/>
                <w:sz w:val="18"/>
                <w:szCs w:val="18"/>
                <w:color w:val="#000000"/>
                <w:b/>
                <w:bCs/>
                <w:spacing w:val="2"/>
                <w:noProof/>
              </w:rPr>
            </w:pPr>
            <w:r>
              <w:rPr>
                <w:rFonts w:ascii="SimSun" w:hAnsi="SimSun" w:cs="SimSun" w:eastAsia="SimSun"/>
                <w:sz w:val="18"/>
                <w:szCs w:val="18"/>
                <w:color w:val="#000000"/>
                <w:b/>
                <w:bCs/>
                <w:spacing w:val="1"/>
                <w:noProof/>
              </w:rPr>
              <w:t>股东权益</w:t>
            </w:r>
          </w:p>
        </w:tc>
        <w:tc>
          <w:tcPr>
            <w:tcBorders>
              <w:top w:val="single" w:sz="4" w:space="0" w:color="000000"/>
              <w:bottom w:val="single" w:sz="4" w:space="0" w:color="000000"/>
              <w:left w:val="single" w:sz="4" w:space="0" w:color="000000"/>
            </w:tcBorders>
            <w:tcW w:w="1601" w:type="dxa"/>
          </w:tcPr>
          <w:p>
            <w:pPr>
              <w:spacing w:before="44" w:after="0" w:line="180" w:lineRule="exact"/>
              <w:ind w:firstLine="1" w:left="-20"/>
              <w:jc w:val="center"/>
              <w:rPr>
                <w:rFonts w:ascii="SimSun" w:hAnsi="SimSun" w:cs="SimSun" w:eastAsia="SimSun"/>
                <w:sz w:val="18"/>
                <w:szCs w:val="18"/>
                <w:color w:val="#000000"/>
                <w:b/>
                <w:bCs/>
                <w:spacing w:val="2"/>
                <w:noProof/>
              </w:rPr>
            </w:pPr>
            <w:r>
              <w:rPr>
                <w:rFonts w:ascii="SimSun" w:hAnsi="SimSun" w:cs="SimSun" w:eastAsia="SimSun"/>
                <w:sz w:val="18"/>
                <w:szCs w:val="18"/>
                <w:color w:val="#000000"/>
                <w:b/>
                <w:bCs/>
                <w:spacing w:val="1"/>
                <w:noProof/>
              </w:rPr>
              <w:t>净利润</w:t>
            </w:r>
          </w:p>
        </w:tc>
        <w:tc>
          <w:tcPr>
            <w:tcBorders>
              <w:top w:val="single" w:sz="4" w:space="0" w:color="000000"/>
              <w:bottom w:val="single" w:sz="4" w:space="0" w:color="000000"/>
            </w:tcBorders>
            <w:tcW w:w="1599" w:type="dxa"/>
          </w:tcPr>
          <w:p>
            <w:pPr>
              <w:spacing w:before="44" w:after="0" w:line="180" w:lineRule="exact"/>
              <w:ind w:firstLine="1" w:left="0"/>
              <w:jc w:val="center"/>
              <w:rPr>
                <w:rFonts w:ascii="SimSun" w:hAnsi="SimSun" w:cs="SimSun" w:eastAsia="SimSun"/>
                <w:sz w:val="18"/>
                <w:szCs w:val="18"/>
                <w:color w:val="#000000"/>
                <w:b/>
                <w:bCs/>
                <w:spacing w:val="2"/>
                <w:noProof/>
              </w:rPr>
            </w:pPr>
            <w:r>
              <w:rPr>
                <w:rFonts w:ascii="SimSun" w:hAnsi="SimSun" w:cs="SimSun" w:eastAsia="SimSun"/>
                <w:sz w:val="18"/>
                <w:szCs w:val="18"/>
                <w:color w:val="#000000"/>
                <w:b/>
                <w:bCs/>
                <w:spacing w:val="1"/>
                <w:noProof/>
              </w:rPr>
              <w:t>股东权益</w:t>
            </w:r>
          </w:p>
        </w:tc>
      </w:tr>
      <w:tr>
        <w:trPr>
          <w:trHeight w:val="254" w:hRule="atLeast"/>
        </w:trPr>
        <w:tc>
          <w:tcPr>
            <w:tcBorders>
              <w:top w:val="single" w:sz="4" w:space="0" w:color="000000"/>
              <w:bottom w:val="single" w:sz="4" w:space="0" w:color="000000"/>
              <w:right w:val="single" w:sz="4" w:space="0" w:color="000000"/>
            </w:tcBorders>
            <w:tcW w:w="1987" w:type="dxa"/>
          </w:tcPr>
          <w:p>
            <w:pPr>
              <w:spacing w:before="20" w:after="0" w:line="180" w:lineRule="exact"/>
              <w:ind w:firstLine="1" w:left="98"/>
              <w:jc w:val="left"/>
              <w:rPr>
                <w:rFonts w:ascii="SimSun" w:hAnsi="SimSun" w:cs="SimSun" w:eastAsia="SimSun"/>
                <w:sz w:val="18"/>
                <w:szCs w:val="18"/>
                <w:color w:val="#000000"/>
                <w:noProof/>
              </w:rPr>
            </w:pPr>
            <w:r>
              <w:rPr>
                <w:rFonts w:ascii="SimSun" w:hAnsi="SimSun" w:cs="SimSun" w:eastAsia="SimSun"/>
                <w:sz w:val="18"/>
                <w:szCs w:val="18"/>
                <w:color w:val="#000000"/>
                <w:noProof/>
              </w:rPr>
              <w:t>人民币</w:t>
            </w:r>
          </w:p>
        </w:tc>
        <w:tc>
          <w:tcPr>
            <w:tcBorders>
              <w:top w:val="single" w:sz="4" w:space="0" w:color="000000"/>
              <w:bottom w:val="single" w:sz="4" w:space="0" w:color="000000"/>
              <w:left w:val="single" w:sz="4" w:space="0" w:color="000000"/>
              <w:right w:val="single" w:sz="4" w:space="0" w:color="000000"/>
            </w:tcBorders>
            <w:tcW w:w="886" w:type="dxa"/>
          </w:tcPr>
          <w:p>
            <w:pPr>
              <w:spacing w:before="20" w:after="0" w:line="180" w:lineRule="exact"/>
              <w:ind w:firstLine="1" w:left="98"/>
              <w:jc w:val="left"/>
              <w:rPr>
                <w:rFonts w:ascii="SimSun" w:hAnsi="SimSun" w:cs="SimSun" w:eastAsia="SimSun"/>
                <w:sz w:val="18"/>
                <w:szCs w:val="18"/>
                <w:color w:val="#000000"/>
                <w:noProof/>
              </w:rPr>
            </w:pPr>
          </w:p>
        </w:tc>
        <w:tc>
          <w:tcPr>
            <w:tcBorders>
              <w:top w:val="single" w:sz="4" w:space="0" w:color="000000"/>
              <w:bottom w:val="double" w:sz="4" w:space="0" w:color="000000"/>
              <w:left w:val="single" w:sz="4" w:space="0" w:color="000000"/>
              <w:right w:val="single" w:sz="4" w:space="0" w:color="000000"/>
            </w:tcBorders>
            <w:tcW w:w="1598" w:type="dxa"/>
          </w:tcPr>
          <w:p>
            <w:pPr>
              <w:spacing w:before="20" w:after="0" w:line="180" w:lineRule="exact"/>
              <w:ind w:firstLine="1" w:left="98"/>
              <w:jc w:val="left"/>
              <w:rPr>
                <w:rFonts w:ascii="SimSun" w:hAnsi="SimSun" w:cs="SimSun" w:eastAsia="SimSun"/>
                <w:sz w:val="18"/>
                <w:szCs w:val="18"/>
                <w:color w:val="#000000"/>
                <w:noProof/>
              </w:rPr>
            </w:pPr>
          </w:p>
        </w:tc>
        <w:tc>
          <w:tcPr>
            <w:tcBorders>
              <w:top w:val="single" w:sz="4" w:space="0" w:color="000000"/>
              <w:bottom w:val="double" w:sz="4" w:space="0" w:color="000000"/>
              <w:left w:val="single" w:sz="4" w:space="0" w:color="000000"/>
              <w:right w:val="single" w:sz="4" w:space="0" w:color="000000"/>
            </w:tcBorders>
            <w:tcW w:w="1601" w:type="dxa"/>
          </w:tcPr>
          <w:p>
            <w:pPr>
              <w:spacing w:before="20" w:after="0" w:line="180" w:lineRule="exact"/>
              <w:ind w:firstLine="1" w:left="98"/>
              <w:jc w:val="left"/>
              <w:rPr>
                <w:rFonts w:ascii="SimSun" w:hAnsi="SimSun" w:cs="SimSun" w:eastAsia="SimSun"/>
                <w:sz w:val="18"/>
                <w:szCs w:val="18"/>
                <w:color w:val="#000000"/>
                <w:noProof/>
              </w:rPr>
            </w:pPr>
          </w:p>
        </w:tc>
        <w:tc>
          <w:tcPr>
            <w:tcBorders>
              <w:top w:val="single" w:sz="4" w:space="0" w:color="000000"/>
              <w:bottom w:val="single" w:sz="4" w:space="0" w:color="000000"/>
              <w:left w:val="single" w:sz="4" w:space="0" w:color="000000"/>
            </w:tcBorders>
            <w:tcW w:w="1601" w:type="dxa"/>
          </w:tcPr>
          <w:p>
            <w:pPr>
              <w:spacing w:before="20" w:after="0" w:line="180" w:lineRule="exact"/>
              <w:ind w:firstLine="1" w:left="98"/>
              <w:jc w:val="left"/>
              <w:rPr>
                <w:rFonts w:ascii="SimSun" w:hAnsi="SimSun" w:cs="SimSun" w:eastAsia="SimSun"/>
                <w:sz w:val="18"/>
                <w:szCs w:val="18"/>
                <w:color w:val="#000000"/>
                <w:noProof/>
              </w:rPr>
            </w:pPr>
          </w:p>
        </w:tc>
        <w:tc>
          <w:tcPr>
            <w:tcBorders>
              <w:top w:val="single" w:sz="4" w:space="0" w:color="000000"/>
              <w:bottom w:val="single" w:sz="4" w:space="0" w:color="000000"/>
            </w:tcBorders>
            <w:tcW w:w="1599" w:type="dxa"/>
          </w:tcPr>
          <w:p>
            <w:pPr>
              <w:spacing w:before="20" w:after="0" w:line="180" w:lineRule="exact"/>
              <w:ind w:firstLine="1" w:left="98"/>
              <w:jc w:val="left"/>
              <w:rPr>
                <w:rFonts w:ascii="SimSun" w:hAnsi="SimSun" w:cs="SimSun" w:eastAsia="SimSun"/>
                <w:sz w:val="18"/>
                <w:szCs w:val="18"/>
                <w:color w:val="#000000"/>
                <w:noProof/>
              </w:rPr>
            </w:pPr>
          </w:p>
        </w:tc>
      </w:tr>
      <w:tr>
        <w:trPr>
          <w:trHeight w:val="256" w:hRule="atLeast"/>
        </w:trPr>
        <w:tc>
          <w:tcPr>
            <w:tcBorders>
              <w:top w:val="single" w:sz="4" w:space="0" w:color="000000"/>
              <w:right w:val="single" w:sz="4" w:space="0" w:color="000000"/>
            </w:tcBorders>
            <w:tcW w:w="1987" w:type="dxa"/>
          </w:tcPr>
          <w:p>
            <w:pPr>
              <w:spacing w:before="20" w:after="0" w:line="180" w:lineRule="exact"/>
              <w:ind w:firstLine="1" w:left="-60"/>
              <w:jc w:val="center"/>
              <w:rPr>
                <w:rFonts w:ascii="SimSun" w:hAnsi="SimSun" w:cs="SimSun" w:eastAsia="SimSun"/>
                <w:sz w:val="18"/>
                <w:szCs w:val="18"/>
                <w:color w:val="#000000"/>
                <w:spacing w:val="-1"/>
                <w:noProof/>
              </w:rPr>
            </w:pPr>
            <w:r>
              <w:rPr>
                <w:rFonts w:ascii="SimSun" w:hAnsi="SimSun" w:cs="SimSun" w:eastAsia="SimSun"/>
                <w:sz w:val="18"/>
                <w:szCs w:val="18"/>
                <w:color w:val="#000000"/>
                <w:spacing w:val="11"/>
                <w:noProof/>
              </w:rPr>
              <w:t>利率增加</w:t>
            </w:r>
            <w:r>
              <w:rPr>
                <w:rFonts w:ascii="SimSun" w:hAnsi="SimSun" w:cs="SimSun" w:eastAsia="SimSun"/>
                <w:sz w:val="18"/>
                <w:szCs w:val="18"/>
                <w:color w:val="#000000"/>
                <w:spacing w:val="24"/>
                <w:noProof/>
              </w:rPr>
              <w:t>50</w:t>
            </w:r>
            <w:r>
              <w:rPr>
                <w:rFonts w:ascii="SimSun" w:hAnsi="SimSun" w:cs="SimSun" w:eastAsia="SimSun"/>
                <w:sz w:val="18"/>
                <w:szCs w:val="18"/>
                <w:color w:val="#000000"/>
                <w:spacing w:val="-1"/>
                <w:noProof/>
              </w:rPr>
              <w:t>个基准点</w:t>
            </w:r>
          </w:p>
        </w:tc>
        <w:tc>
          <w:tcPr>
            <w:tcBorders>
              <w:top w:val="single" w:sz="4" w:space="0" w:color="000000"/>
              <w:left w:val="single" w:sz="4" w:space="0" w:color="000000"/>
              <w:right w:val="single" w:sz="4" w:space="0" w:color="000000"/>
            </w:tcBorders>
            <w:tcW w:w="886" w:type="dxa"/>
          </w:tcPr>
          <w:p>
            <w:pPr>
              <w:spacing w:before="20" w:after="0" w:line="180" w:lineRule="exact"/>
              <w:ind w:firstLine="1" w:left="0" w:right="60"/>
              <w:jc w:val="right"/>
              <w:rPr>
                <w:rFonts w:ascii="SimSun" w:hAnsi="SimSun" w:cs="SimSun" w:eastAsia="SimSun"/>
                <w:sz w:val="18"/>
                <w:szCs w:val="18"/>
                <w:color w:val="#000000"/>
                <w:spacing w:val="1"/>
                <w:noProof/>
              </w:rPr>
            </w:pPr>
            <w:r>
              <w:rPr>
                <w:rFonts w:ascii="SimSun" w:hAnsi="SimSun" w:cs="SimSun" w:eastAsia="SimSun"/>
                <w:sz w:val="18"/>
                <w:szCs w:val="18"/>
                <w:color w:val="#000000"/>
                <w:spacing w:val="1"/>
                <w:noProof/>
              </w:rPr>
              <w:t>50</w:t>
            </w:r>
          </w:p>
        </w:tc>
        <w:tc>
          <w:tcPr>
            <w:tcBorders>
              <w:top w:val="single" w:sz="4" w:space="0" w:color="000000"/>
              <w:bottom w:val="double" w:sz="4" w:space="0" w:color="000000"/>
              <w:left w:val="single" w:sz="4" w:space="0" w:color="000000"/>
              <w:right w:val="single" w:sz="4" w:space="0" w:color="000000"/>
            </w:tcBorders>
            <w:tcW w:w="1598" w:type="dxa"/>
          </w:tcPr>
          <w:p>
            <w:pPr>
              <w:spacing w:before="20" w:after="0" w:line="180" w:lineRule="exact"/>
              <w:ind w:firstLine="1" w:left="20"/>
              <w:jc w:val="center"/>
              <w:rPr>
                <w:rFonts w:ascii="SimSun" w:hAnsi="SimSun" w:cs="SimSun" w:eastAsia="SimSun"/>
                <w:sz w:val="18"/>
                <w:szCs w:val="18"/>
                <w:color w:val="#000000"/>
                <w:spacing w:val="1"/>
                <w:noProof/>
              </w:rPr>
            </w:pPr>
            <w:r>
              <w:rPr>
                <w:rFonts w:ascii="SimSun" w:hAnsi="SimSun" w:cs="SimSun" w:eastAsia="SimSun"/>
                <w:sz w:val="18"/>
                <w:szCs w:val="18"/>
                <w:color w:val="#000000"/>
                <w:spacing w:val="0"/>
                <w:noProof/>
              </w:rPr>
              <w:t>-113,716,617.67</w:t>
            </w:r>
          </w:p>
        </w:tc>
        <w:tc>
          <w:tcPr>
            <w:tcBorders>
              <w:top w:val="single" w:sz="4" w:space="0" w:color="000000"/>
              <w:bottom w:val="double" w:sz="4" w:space="0" w:color="000000"/>
              <w:left w:val="single" w:sz="4" w:space="0" w:color="000000"/>
              <w:right w:val="single" w:sz="4" w:space="0" w:color="000000"/>
            </w:tcBorders>
            <w:tcW w:w="1601" w:type="dxa"/>
          </w:tcPr>
          <w:p>
            <w:pPr>
              <w:spacing w:before="20" w:after="0" w:line="180" w:lineRule="exact"/>
              <w:ind w:firstLine="1" w:left="20"/>
              <w:jc w:val="center"/>
              <w:rPr>
                <w:rFonts w:ascii="SimSun" w:hAnsi="SimSun" w:cs="SimSun" w:eastAsia="SimSun"/>
                <w:sz w:val="18"/>
                <w:szCs w:val="18"/>
                <w:color w:val="#000000"/>
                <w:spacing w:val="1"/>
                <w:noProof/>
              </w:rPr>
            </w:pPr>
            <w:r>
              <w:rPr>
                <w:rFonts w:ascii="SimSun" w:hAnsi="SimSun" w:cs="SimSun" w:eastAsia="SimSun"/>
                <w:sz w:val="18"/>
                <w:szCs w:val="18"/>
                <w:color w:val="#000000"/>
                <w:spacing w:val="0"/>
                <w:noProof/>
              </w:rPr>
              <w:t>-113,716,617.67</w:t>
            </w:r>
          </w:p>
        </w:tc>
        <w:tc>
          <w:tcPr>
            <w:tcBorders>
              <w:top w:val="single" w:sz="4" w:space="0" w:color="000000"/>
              <w:left w:val="single" w:sz="4" w:space="0" w:color="000000"/>
            </w:tcBorders>
            <w:tcW w:w="1601" w:type="dxa"/>
          </w:tcPr>
          <w:p>
            <w:pPr>
              <w:spacing w:before="20" w:after="0" w:line="180" w:lineRule="exact"/>
              <w:ind w:firstLine="1" w:left="20"/>
              <w:jc w:val="center"/>
              <w:rPr>
                <w:rFonts w:ascii="SimSun" w:hAnsi="SimSun" w:cs="SimSun" w:eastAsia="SimSun"/>
                <w:sz w:val="18"/>
                <w:szCs w:val="18"/>
                <w:color w:val="#000000"/>
                <w:spacing w:val="1"/>
                <w:noProof/>
              </w:rPr>
            </w:pPr>
            <w:r>
              <w:rPr>
                <w:rFonts w:ascii="SimSun" w:hAnsi="SimSun" w:cs="SimSun" w:eastAsia="SimSun"/>
                <w:sz w:val="18"/>
                <w:szCs w:val="18"/>
                <w:color w:val="#000000"/>
                <w:spacing w:val="0"/>
                <w:noProof/>
              </w:rPr>
              <w:t>-115,366,973.97</w:t>
            </w:r>
          </w:p>
        </w:tc>
        <w:tc>
          <w:tcPr>
            <w:tcBorders>
              <w:top w:val="single" w:sz="4" w:space="0" w:color="000000"/>
            </w:tcBorders>
            <w:tcW w:w="1599" w:type="dxa"/>
          </w:tcPr>
          <w:p>
            <w:pPr>
              <w:spacing w:before="20" w:after="0" w:line="180" w:lineRule="exact"/>
              <w:ind w:firstLine="1" w:left="20"/>
              <w:jc w:val="center"/>
              <w:rPr>
                <w:rFonts w:ascii="SimSun" w:hAnsi="SimSun" w:cs="SimSun" w:eastAsia="SimSun"/>
                <w:sz w:val="18"/>
                <w:szCs w:val="18"/>
                <w:color w:val="#000000"/>
                <w:spacing w:val="1"/>
                <w:noProof/>
              </w:rPr>
            </w:pPr>
            <w:r>
              <w:rPr>
                <w:rFonts w:ascii="SimSun" w:hAnsi="SimSun" w:cs="SimSun" w:eastAsia="SimSun"/>
                <w:sz w:val="18"/>
                <w:szCs w:val="18"/>
                <w:color w:val="#000000"/>
                <w:spacing w:val="0"/>
                <w:noProof/>
              </w:rPr>
              <w:t>-115,366,973.97</w:t>
            </w:r>
          </w:p>
        </w:tc>
      </w:tr>
      <w:tr>
        <w:trPr>
          <w:trHeight w:val="254" w:hRule="atLeast"/>
        </w:trPr>
        <w:tc>
          <w:tcPr>
            <w:tcBorders>
              <w:right w:val="single" w:sz="4" w:space="0" w:color="000000"/>
            </w:tcBorders>
            <w:tcW w:w="1987" w:type="dxa"/>
          </w:tcPr>
          <w:p>
            <w:pPr>
              <w:spacing w:before="20" w:after="0" w:line="180" w:lineRule="exact"/>
              <w:ind w:firstLine="1" w:left="-60"/>
              <w:jc w:val="center"/>
              <w:rPr>
                <w:rFonts w:ascii="SimSun" w:hAnsi="SimSun" w:cs="SimSun" w:eastAsia="SimSun"/>
                <w:sz w:val="18"/>
                <w:szCs w:val="18"/>
                <w:color w:val="#000000"/>
                <w:spacing w:val="-1"/>
                <w:noProof/>
              </w:rPr>
            </w:pPr>
            <w:r>
              <w:rPr>
                <w:rFonts w:ascii="SimSun" w:hAnsi="SimSun" w:cs="SimSun" w:eastAsia="SimSun"/>
                <w:sz w:val="18"/>
                <w:szCs w:val="18"/>
                <w:color w:val="#000000"/>
                <w:spacing w:val="11"/>
                <w:noProof/>
              </w:rPr>
              <w:t>利率减少</w:t>
            </w:r>
            <w:r>
              <w:rPr>
                <w:rFonts w:ascii="SimSun" w:hAnsi="SimSun" w:cs="SimSun" w:eastAsia="SimSun"/>
                <w:sz w:val="18"/>
                <w:szCs w:val="18"/>
                <w:color w:val="#000000"/>
                <w:spacing w:val="24"/>
                <w:noProof/>
              </w:rPr>
              <w:t>50</w:t>
            </w:r>
            <w:r>
              <w:rPr>
                <w:rFonts w:ascii="SimSun" w:hAnsi="SimSun" w:cs="SimSun" w:eastAsia="SimSun"/>
                <w:sz w:val="18"/>
                <w:szCs w:val="18"/>
                <w:color w:val="#000000"/>
                <w:spacing w:val="-1"/>
                <w:noProof/>
              </w:rPr>
              <w:t>个基准点</w:t>
            </w:r>
          </w:p>
        </w:tc>
        <w:tc>
          <w:tcPr>
            <w:tcBorders>
              <w:left w:val="single" w:sz="4" w:space="0" w:color="000000"/>
              <w:right w:val="single" w:sz="4" w:space="0" w:color="000000"/>
            </w:tcBorders>
            <w:tcW w:w="886" w:type="dxa"/>
          </w:tcPr>
          <w:p>
            <w:pPr>
              <w:spacing w:before="20" w:after="0" w:line="180" w:lineRule="exact"/>
              <w:ind w:firstLine="1" w:left="0" w:right="60"/>
              <w:jc w:val="right"/>
              <w:rPr>
                <w:rFonts w:ascii="SimSun" w:hAnsi="SimSun" w:cs="SimSun" w:eastAsia="SimSun"/>
                <w:sz w:val="18"/>
                <w:szCs w:val="18"/>
                <w:color w:val="#000000"/>
                <w:spacing w:val="3"/>
                <w:noProof/>
              </w:rPr>
            </w:pPr>
            <w:r>
              <w:rPr>
                <w:rFonts w:ascii="SimSun" w:hAnsi="SimSun" w:cs="SimSun" w:eastAsia="SimSun"/>
                <w:sz w:val="18"/>
                <w:szCs w:val="18"/>
                <w:color w:val="#000000"/>
                <w:spacing w:val="1"/>
                <w:noProof/>
              </w:rPr>
              <w:t>-50</w:t>
            </w:r>
          </w:p>
        </w:tc>
        <w:tc>
          <w:tcPr>
            <w:tcBorders>
              <w:left w:val="single" w:sz="4" w:space="0" w:color="000000"/>
              <w:right w:val="single" w:sz="4" w:space="0" w:color="000000"/>
            </w:tcBorders>
            <w:tcW w:w="1598" w:type="dxa"/>
          </w:tcPr>
          <w:p>
            <w:pPr>
              <w:spacing w:before="20" w:after="0" w:line="180" w:lineRule="exact"/>
              <w:ind w:firstLine="1" w:left="0" w:right="60"/>
              <w:jc w:val="right"/>
              <w:rPr>
                <w:rFonts w:ascii="SimSun" w:hAnsi="SimSun" w:cs="SimSun" w:eastAsia="SimSun"/>
                <w:sz w:val="18"/>
                <w:szCs w:val="18"/>
                <w:color w:val="#000000"/>
                <w:noProof/>
              </w:rPr>
            </w:pPr>
            <w:r>
              <w:rPr>
                <w:rFonts w:ascii="SimSun" w:hAnsi="SimSun" w:cs="SimSun" w:eastAsia="SimSun"/>
                <w:sz w:val="18"/>
                <w:szCs w:val="18"/>
                <w:color w:val="#000000"/>
                <w:noProof/>
              </w:rPr>
              <w:t>113,716,617.67</w:t>
            </w:r>
          </w:p>
        </w:tc>
        <w:tc>
          <w:tcPr>
            <w:tcBorders>
              <w:left w:val="single" w:sz="4" w:space="0" w:color="000000"/>
              <w:right w:val="single" w:sz="4" w:space="0" w:color="000000"/>
            </w:tcBorders>
            <w:tcW w:w="1601" w:type="dxa"/>
          </w:tcPr>
          <w:p>
            <w:pPr>
              <w:spacing w:before="20" w:after="0" w:line="180" w:lineRule="exact"/>
              <w:ind w:firstLine="1" w:left="0" w:right="60"/>
              <w:jc w:val="right"/>
              <w:rPr>
                <w:rFonts w:ascii="SimSun" w:hAnsi="SimSun" w:cs="SimSun" w:eastAsia="SimSun"/>
                <w:sz w:val="18"/>
                <w:szCs w:val="18"/>
                <w:color w:val="#000000"/>
                <w:noProof/>
              </w:rPr>
            </w:pPr>
            <w:r>
              <w:rPr>
                <w:rFonts w:ascii="SimSun" w:hAnsi="SimSun" w:cs="SimSun" w:eastAsia="SimSun"/>
                <w:sz w:val="18"/>
                <w:szCs w:val="18"/>
                <w:color w:val="#000000"/>
                <w:noProof/>
              </w:rPr>
              <w:t>113,716,617.67</w:t>
            </w:r>
          </w:p>
        </w:tc>
        <w:tc>
          <w:tcPr>
            <w:tcBorders>
              <w:left w:val="single" w:sz="4" w:space="0" w:color="000000"/>
            </w:tcBorders>
            <w:tcW w:w="1601" w:type="dxa"/>
          </w:tcPr>
          <w:p>
            <w:pPr>
              <w:spacing w:before="20" w:after="0" w:line="180" w:lineRule="exact"/>
              <w:ind w:firstLine="1" w:left="0" w:right="60"/>
              <w:jc w:val="right"/>
              <w:rPr>
                <w:rFonts w:ascii="SimSun" w:hAnsi="SimSun" w:cs="SimSun" w:eastAsia="SimSun"/>
                <w:sz w:val="18"/>
                <w:szCs w:val="18"/>
                <w:color w:val="#000000"/>
                <w:noProof/>
              </w:rPr>
            </w:pPr>
            <w:r>
              <w:rPr>
                <w:rFonts w:ascii="SimSun" w:hAnsi="SimSun" w:cs="SimSun" w:eastAsia="SimSun"/>
                <w:sz w:val="18"/>
                <w:szCs w:val="18"/>
                <w:color w:val="#000000"/>
                <w:noProof/>
              </w:rPr>
              <w:t>115,366,973.97</w:t>
            </w:r>
          </w:p>
        </w:tc>
        <w:tc>
          <w:tcPr>
            <w:tcW w:w="1599" w:type="dxa"/>
          </w:tcPr>
          <w:p>
            <w:pPr>
              <w:spacing w:before="20" w:after="0" w:line="180" w:lineRule="exact"/>
              <w:ind w:firstLine="1" w:left="0" w:right="60"/>
              <w:jc w:val="right"/>
              <w:rPr>
                <w:rFonts w:ascii="SimSun" w:hAnsi="SimSun" w:cs="SimSun" w:eastAsia="SimSun"/>
                <w:sz w:val="18"/>
                <w:szCs w:val="18"/>
                <w:color w:val="#000000"/>
                <w:spacing w:val="0"/>
                <w:noProof/>
              </w:rPr>
            </w:pPr>
            <w:r>
              <w:rPr>
                <w:rFonts w:ascii="SimSun" w:hAnsi="SimSun" w:cs="SimSun" w:eastAsia="SimSun"/>
                <w:sz w:val="18"/>
                <w:szCs w:val="18"/>
                <w:color w:val="#000000"/>
                <w:spacing w:val="0"/>
                <w:noProof/>
              </w:rPr>
              <w:t>115,366,973.97</w:t>
            </w:r>
          </w:p>
        </w:tc>
      </w:tr>
    </w:tbl>
    <w:p>
      <w:pPr>
        <w:spacing w:before="0" w:after="0" w:line="180" w:lineRule="exact"/>
        <w:ind w:firstLine="1" w:left="0" w:right="46038000"/>
        <w:jc w:val="right"/>
        <w:rPr>
          <w:rFonts w:ascii="Calibri" w:hAnsi="Calibri" w:cs="Calibri" w:eastAsia="Calibri"/>
          <w:sz w:val="18"/>
          <w:szCs w:val="18"/>
          <w:color w:val="#000000"/>
          <w:b/>
          <w:bCs/>
          <w:spacing w:val="-1"/>
          <w:noProof/>
        </w:rPr>
      </w:pPr>
    </w:p>
    <w:p>
      <w:pPr>
        <w:spacing w:before="0" w:after="0" w:line="180" w:lineRule="exact"/>
        <w:ind w:firstLine="1" w:left="0" w:right="46038000"/>
        <w:jc w:val="right"/>
        <w:rPr>
          <w:rFonts w:ascii="Calibri" w:hAnsi="Calibri" w:cs="Calibri" w:eastAsia="Calibri"/>
          <w:sz w:val="18"/>
          <w:szCs w:val="18"/>
          <w:color w:val="#000000"/>
          <w:b/>
          <w:bCs/>
          <w:spacing w:val="-1"/>
          <w:noProof/>
        </w:rPr>
      </w:pPr>
    </w:p>
    <w:p>
      <w:pPr>
        <w:spacing w:before="0" w:after="0" w:line="180" w:lineRule="exact"/>
        <w:ind w:firstLine="1" w:left="0" w:right="46038000"/>
        <w:jc w:val="right"/>
        <w:rPr>
          <w:rFonts w:ascii="Calibri" w:hAnsi="Calibri" w:cs="Calibri" w:eastAsia="Calibri"/>
          <w:sz w:val="18"/>
          <w:szCs w:val="18"/>
          <w:color w:val="#000000"/>
          <w:b/>
          <w:bCs/>
          <w:spacing w:val="-1"/>
          <w:noProof/>
        </w:rPr>
      </w:pPr>
    </w:p>
    <w:p>
      <w:pPr>
        <w:spacing w:before="0" w:after="0" w:line="180" w:lineRule="exact"/>
        <w:ind w:firstLine="1" w:left="0" w:right="46038000"/>
        <w:jc w:val="right"/>
        <w:rPr>
          <w:rFonts w:ascii="Calibri" w:hAnsi="Calibri" w:cs="Calibri" w:eastAsia="Calibri"/>
          <w:sz w:val="18"/>
          <w:szCs w:val="18"/>
          <w:color w:val="#000000"/>
          <w:b/>
          <w:bCs/>
          <w:spacing w:val="-1"/>
          <w:noProof/>
        </w:rPr>
      </w:pPr>
    </w:p>
    <w:p>
      <w:pPr>
        <w:spacing w:before="0" w:after="0" w:line="180" w:lineRule="exact"/>
        <w:ind w:firstLine="1" w:left="0" w:right="46038000"/>
        <w:jc w:val="right"/>
        <w:rPr>
          <w:rFonts w:ascii="Calibri" w:hAnsi="Calibri" w:cs="Calibri" w:eastAsia="Calibri"/>
          <w:sz w:val="18"/>
          <w:szCs w:val="18"/>
          <w:color w:val="#000000"/>
          <w:b/>
          <w:bCs/>
          <w:spacing w:val="-1"/>
          <w:noProof/>
        </w:rPr>
      </w:pPr>
    </w:p>
    <w:p>
      <w:pPr>
        <w:spacing w:before="0" w:after="0" w:line="180" w:lineRule="exact"/>
        <w:ind w:firstLine="1" w:left="0" w:right="46038000"/>
        <w:jc w:val="right"/>
        <w:rPr>
          <w:rFonts w:ascii="Calibri" w:hAnsi="Calibri" w:cs="Calibri" w:eastAsia="Calibri"/>
          <w:sz w:val="18"/>
          <w:szCs w:val="18"/>
          <w:color w:val="#000000"/>
          <w:b/>
          <w:bCs/>
          <w:spacing w:val="-1"/>
          <w:noProof/>
        </w:rPr>
      </w:pPr>
    </w:p>
    <w:p>
      <w:pPr>
        <w:spacing w:before="0" w:after="0" w:line="180" w:lineRule="exact"/>
        <w:ind w:firstLine="1" w:left="0" w:right="46038000"/>
        <w:jc w:val="right"/>
        <w:rPr>
          <w:rFonts w:ascii="Calibri" w:hAnsi="Calibri" w:cs="Calibri" w:eastAsia="Calibri"/>
          <w:sz w:val="18"/>
          <w:szCs w:val="18"/>
          <w:color w:val="#000000"/>
          <w:b/>
          <w:bCs/>
          <w:spacing w:val="-1"/>
          <w:noProof/>
        </w:rPr>
      </w:pPr>
    </w:p>
    <w:p>
      <w:pPr>
        <w:spacing w:before="0" w:after="0" w:line="249" w:lineRule="exact"/>
        <w:ind w:firstLine="1" w:left="0" w:right="46038000"/>
        <w:jc w:val="right"/>
        <w:rPr>
          <w:rFonts w:ascii="Calibri" w:hAnsi="Calibri" w:cs="Calibri" w:eastAsia="Calibri"/>
          <w:sz w:val="18"/>
          <w:szCs w:val="18"/>
          <w:color w:val="#000000"/>
          <w:b/>
          <w:bCs/>
          <w:spacing w:val="-1"/>
          <w:noProof/>
        </w:rPr>
      </w:pPr>
    </w:p>
    <w:p>
      <w:pPr>
        <w:spacing w:before="180" w:after="0" w:line="180" w:lineRule="exact"/>
        <w:ind w:firstLine="1" w:left="0" w:right="4600"/>
        <w:jc w:val="right"/>
        <w:rPr>
          <w:rFonts w:ascii="Calibri" w:hAnsi="Calibri" w:cs="Calibri" w:eastAsia="Calibri"/>
          <w:sz w:val="18"/>
          <w:szCs w:val="18"/>
          <w:color w:val="#000000"/>
          <w:b/>
          <w:bCs/>
          <w:spacing w:val="-1"/>
          <w:noProof/>
        </w:rPr>
      </w:pPr>
      <w:r>
        <w:rPr>
          <w:rFonts w:ascii="Calibri" w:hAnsi="Calibri" w:cs="Calibri" w:eastAsia="Calibri"/>
          <w:sz w:val="18"/>
          <w:szCs w:val="18"/>
          <w:color w:val="#000000"/>
          <w:b/>
          <w:bCs/>
          <w:spacing w:val="-1"/>
          <w:noProof/>
        </w:rPr>
        <w:t>238</w:t>
      </w:r>
      <w:r>
        <w:rPr>
          <w:rFonts w:ascii="Calibri" w:hAnsi="Calibri" w:cs="Calibri" w:eastAsia="Calibri"/>
          <w:sz w:val="18"/>
          <w:szCs w:val="18"/>
          <w:color w:val="#000000"/>
          <w:b/>
          <w:bCs/>
          <w:spacing w:val="0"/>
          <w:noProof/>
        </w:rPr>
        <w:t> </w:t>
      </w:r>
      <w:r>
        <w:rPr>
          <w:rFonts w:ascii="Calibri" w:hAnsi="Calibri" w:cs="Calibri" w:eastAsia="Calibri"/>
          <w:sz w:val="18"/>
          <w:szCs w:val="18"/>
          <w:color w:val="#000000"/>
          <w:spacing w:val="0"/>
          <w:noProof/>
        </w:rPr>
        <w:t>/ </w:t>
      </w:r>
      <w:r>
        <w:rPr>
          <w:rFonts w:ascii="Calibri" w:hAnsi="Calibri" w:cs="Calibri" w:eastAsia="Calibri"/>
          <w:sz w:val="18"/>
          <w:szCs w:val="18"/>
          <w:color w:val="#000000"/>
          <w:b/>
          <w:bCs/>
          <w:spacing w:val="-1"/>
          <w:noProof/>
        </w:rPr>
        <w:t>274</w:t>
      </w:r>
    </w:p>
    <w:sectPr>
      <w:type w:val="continuous"/>
      <w:pgSz w:w="11906" w:h="16838"/>
      <w:pgMar w:top="720" w:right="720" w:bottom="720" w:left="720" w:header="708" w:footer="708" w:gutter="0"/>
    </w:sectPr>
    <w:docPr>
      <w:view w:val="page"/>
      <w:zoom w:percent="120"/>
    </w:docPr>
  </w:body>
</w:document>
</file>

<file path=word/fontTable.xml><?xml version="1.0" encoding="utf-8"?>
<w:fonts xmlns:r="http://schemas.openxmlformats.org/officeDocument/2006/relationships" xmlns:w="http://schemas.openxmlformats.org/wordprocessingml/2006/main">
  <w:font w:name="Times New Roman">
    <w:pitch w:val="variable"/>
    <w:altName w:val="Times New Roman"/>
    <w:charset w:val="0"/>
    <w:family w:val="roman"/>
  </w:font>
  <w:font w:name="Arial">
    <w:pitch w:val="variable"/>
    <w:altName w:val="Arial"/>
    <w:charset w:val="0"/>
    <w:family w:val="swiss"/>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lineRule="auto" w:line="240" w:before="0" w:after="0"/>
        <w:ind w:left="0" w:right="0"/>
        <w:jc w:val="lef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
<Relationships xmlns="http://schemas.openxmlformats.org/package/2006/relationships">
	<Relationship Id="rId_1" Type="http://schemas.openxmlformats.org/officeDocument/2006/relationships/styles" Target="styles.xml"/>
	<Relationship Id="rId_2" Type="http://schemas.openxmlformats.org/officeDocument/2006/relationships/fontTable" Target="fontTable.xml"/>
	<Relationship Id="rId_3" Type="http://schemas.openxmlformats.org/officeDocument/2006/relationships/theme" Target="theme/theme1.xml"/>
	<Relationship Id="rId_4" Type="http://schemas.openxmlformats.org/officeDocument/2006/relationships/settings" Target="settings.xml"/>
	<Relationship Id="rId_5"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Application>Microsoft Office Word</Application>
  <DocSecurity>0</DocSecurity>
  <ScaleCrop>false</ScaleCrop>
  <Company>Cloudconvert 30 day demo, Powered by Flyingbee Software, https://www.flyingbee.com</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Flyingbee PDF Converter</dc:title>
  <dc:creator/>
  <cp:lastModifiedBy>Flyingbee PDF Converter for Linux</cp:lastModifiedBy>
  <cp:revision>3</cp:revision>
  <dcterms:created xsi:type="dcterms:W3CDTF">2024-09-20T21:31:06Z</dcterms:created>
  <dcterms:modified xsi:type="dcterms:W3CDTF">2024-09-20T21:31:06Z</dcterms:modified>
</cp:coreProperties>
</file>